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2D" w:rsidRPr="009D3429" w:rsidRDefault="00B2492D" w:rsidP="00E72AE7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9D342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F734A6">
        <w:rPr>
          <w:rFonts w:ascii="Palatino Linotype" w:hAnsi="Palatino Linotype" w:cs="Arial"/>
          <w:b/>
        </w:rPr>
        <w:t>CUADRAGÉSIMA</w:t>
      </w:r>
      <w:r w:rsidR="00F734A6" w:rsidRPr="009D3429">
        <w:rPr>
          <w:rFonts w:ascii="Palatino Linotype" w:hAnsi="Palatino Linotype" w:cs="Arial"/>
          <w:b/>
        </w:rPr>
        <w:t xml:space="preserve"> </w:t>
      </w:r>
      <w:r w:rsidRPr="009D3429">
        <w:rPr>
          <w:rFonts w:ascii="Palatino Linotype" w:hAnsi="Palatino Linotype" w:cs="Arial"/>
          <w:b/>
        </w:rPr>
        <w:t>SESIÓN ORDINARIA DE</w:t>
      </w:r>
      <w:r w:rsidR="00F734A6">
        <w:rPr>
          <w:rFonts w:ascii="Palatino Linotype" w:hAnsi="Palatino Linotype" w:cs="Arial"/>
          <w:b/>
        </w:rPr>
        <w:t xml:space="preserve">L TREINTA Y UNO </w:t>
      </w:r>
      <w:r w:rsidR="0055481B">
        <w:rPr>
          <w:rFonts w:ascii="Palatino Linotype" w:hAnsi="Palatino Linotype" w:cs="Arial"/>
          <w:b/>
        </w:rPr>
        <w:t xml:space="preserve">DE </w:t>
      </w:r>
      <w:r w:rsidR="00F734A6">
        <w:rPr>
          <w:rFonts w:ascii="Palatino Linotype" w:hAnsi="Palatino Linotype" w:cs="Arial"/>
          <w:b/>
        </w:rPr>
        <w:t xml:space="preserve">OCTUBRE </w:t>
      </w:r>
      <w:r w:rsidR="00AC0EBE" w:rsidRPr="009D3429">
        <w:rPr>
          <w:rFonts w:ascii="Palatino Linotype" w:hAnsi="Palatino Linotype" w:cs="Arial"/>
          <w:b/>
        </w:rPr>
        <w:t>DE DOS MIL DIECIOCHO</w:t>
      </w:r>
      <w:r w:rsidRPr="009D3429">
        <w:rPr>
          <w:rFonts w:ascii="Palatino Linotype" w:hAnsi="Palatino Linotype" w:cs="Arial"/>
          <w:b/>
        </w:rPr>
        <w:t xml:space="preserve">,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 w:rsidR="00F734A6">
        <w:rPr>
          <w:rFonts w:ascii="Palatino Linotype" w:eastAsia="Calibri" w:hAnsi="Palatino Linotype" w:cs="Arial"/>
          <w:b/>
          <w:color w:val="000000"/>
        </w:rPr>
        <w:t>3461</w:t>
      </w:r>
      <w:r w:rsidR="003A0C01">
        <w:rPr>
          <w:rFonts w:ascii="Palatino Linotype" w:eastAsia="Calibri" w:hAnsi="Palatino Linotype" w:cs="Arial"/>
          <w:b/>
          <w:color w:val="000000"/>
        </w:rPr>
        <w:t>/INFOEM/IP/RR/2018</w:t>
      </w:r>
      <w:r w:rsidRPr="009D3429">
        <w:rPr>
          <w:rFonts w:ascii="Palatino Linotype" w:eastAsia="Calibri" w:hAnsi="Palatino Linotype" w:cs="Arial"/>
          <w:b/>
          <w:color w:val="000000"/>
        </w:rPr>
        <w:t>.</w:t>
      </w:r>
    </w:p>
    <w:p w:rsidR="00B2492D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 xml:space="preserve">respecto de la resolución dictada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 w:rsidR="00F734A6">
        <w:rPr>
          <w:rFonts w:ascii="Palatino Linotype" w:eastAsia="Calibri" w:hAnsi="Palatino Linotype" w:cs="Arial"/>
          <w:b/>
          <w:color w:val="000000"/>
        </w:rPr>
        <w:t>3461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 w:rsidR="003A0C01"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F734A6">
        <w:rPr>
          <w:rFonts w:ascii="Palatino Linotype" w:hAnsi="Palatino Linotype" w:cs="Arial"/>
        </w:rPr>
        <w:t>el</w:t>
      </w:r>
      <w:r w:rsidR="009D7BAE" w:rsidRPr="009D3429"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 w:cs="Arial"/>
        </w:rPr>
        <w:t>Comisionad</w:t>
      </w:r>
      <w:r w:rsidR="00F734A6">
        <w:rPr>
          <w:rFonts w:ascii="Palatino Linotype" w:hAnsi="Palatino Linotype" w:cs="Arial"/>
        </w:rPr>
        <w:t>o</w:t>
      </w:r>
      <w:r w:rsidRPr="009D3429">
        <w:rPr>
          <w:rFonts w:ascii="Palatino Linotype" w:hAnsi="Palatino Linotype" w:cs="Arial"/>
          <w:b/>
        </w:rPr>
        <w:t xml:space="preserve"> </w:t>
      </w:r>
      <w:r w:rsidR="00F734A6">
        <w:rPr>
          <w:rFonts w:ascii="Palatino Linotype" w:hAnsi="Palatino Linotype" w:cs="Arial"/>
          <w:b/>
        </w:rPr>
        <w:t>LUIS GUSTAVO PARRA NORIEGA</w:t>
      </w:r>
      <w:r w:rsidRPr="009D3429">
        <w:rPr>
          <w:rFonts w:ascii="Palatino Linotype" w:hAnsi="Palatino Linotype" w:cs="Arial"/>
          <w:b/>
        </w:rPr>
        <w:t>,</w:t>
      </w:r>
      <w:r w:rsidR="000135AA">
        <w:rPr>
          <w:rFonts w:ascii="Palatino Linotype" w:hAnsi="Palatino Linotype" w:cs="Arial"/>
        </w:rPr>
        <w:t xml:space="preserve"> que es del tenor siguiente.</w:t>
      </w:r>
    </w:p>
    <w:p w:rsidR="00AC0EBE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Es de destacar, que la suscrita comparte las razones que motivaron la emisión del recurso de rev</w:t>
      </w:r>
      <w:r w:rsidR="000135AA">
        <w:rPr>
          <w:rFonts w:ascii="Palatino Linotype" w:hAnsi="Palatino Linotype"/>
        </w:rPr>
        <w:t>isión en comento; empero, estimo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 w:rsidR="00B71A4B">
        <w:rPr>
          <w:rFonts w:ascii="Palatino Linotype" w:hAnsi="Palatino Linotype"/>
        </w:rPr>
        <w:t>tocante al</w:t>
      </w:r>
      <w:r w:rsidRPr="009D3429">
        <w:rPr>
          <w:rFonts w:ascii="Palatino Linotype" w:hAnsi="Palatino Linotype"/>
        </w:rPr>
        <w:t xml:space="preserve"> sentido de la resolución correspondiente.</w:t>
      </w:r>
    </w:p>
    <w:p w:rsidR="00CA758B" w:rsidRPr="003A0C01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i/>
          <w:sz w:val="22"/>
        </w:rPr>
      </w:pPr>
      <w:r w:rsidRPr="009D3429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5E5869">
        <w:rPr>
          <w:rFonts w:ascii="Palatino Linotype" w:hAnsi="Palatino Linotype"/>
        </w:rPr>
        <w:t>el</w:t>
      </w:r>
      <w:r w:rsidRPr="009D3429">
        <w:rPr>
          <w:rFonts w:ascii="Palatino Linotype" w:hAnsi="Palatino Linotype"/>
        </w:rPr>
        <w:t xml:space="preserve"> particular requirió del</w:t>
      </w:r>
      <w:r w:rsidR="003A0C01">
        <w:rPr>
          <w:rFonts w:ascii="Palatino Linotype" w:hAnsi="Palatino Linotype"/>
        </w:rPr>
        <w:t xml:space="preserve"> </w:t>
      </w:r>
      <w:r w:rsidR="003A0C01" w:rsidRPr="00F734A6">
        <w:rPr>
          <w:rFonts w:ascii="Palatino Linotype" w:hAnsi="Palatino Linotype"/>
          <w:b/>
        </w:rPr>
        <w:t xml:space="preserve">Ayuntamiento de </w:t>
      </w:r>
      <w:r w:rsidR="00F734A6" w:rsidRPr="00F734A6">
        <w:rPr>
          <w:rFonts w:ascii="Palatino Linotype" w:hAnsi="Palatino Linotype"/>
          <w:b/>
        </w:rPr>
        <w:t>Cuautitlán Izcalli</w:t>
      </w:r>
      <w:r w:rsidR="003A0C01">
        <w:rPr>
          <w:rFonts w:ascii="Palatino Linotype" w:hAnsi="Palatino Linotype"/>
        </w:rPr>
        <w:t xml:space="preserve">, en lo sucesivo </w:t>
      </w:r>
      <w:r w:rsidR="003A0C01">
        <w:rPr>
          <w:rFonts w:ascii="Palatino Linotype" w:hAnsi="Palatino Linotype"/>
          <w:b/>
        </w:rPr>
        <w:t>EL</w:t>
      </w:r>
      <w:r w:rsidRPr="009D3429">
        <w:rPr>
          <w:rFonts w:ascii="Palatino Linotype" w:hAnsi="Palatino Linotype"/>
        </w:rPr>
        <w:t xml:space="preserve"> </w:t>
      </w:r>
      <w:r w:rsidRPr="009D3429">
        <w:rPr>
          <w:rFonts w:ascii="Palatino Linotype" w:hAnsi="Palatino Linotype"/>
          <w:b/>
        </w:rPr>
        <w:t>SUJETO OBLIGADO</w:t>
      </w:r>
      <w:r w:rsidR="003A0C01">
        <w:rPr>
          <w:rFonts w:ascii="Palatino Linotype" w:hAnsi="Palatino Linotype"/>
        </w:rPr>
        <w:t xml:space="preserve">, </w:t>
      </w:r>
      <w:r w:rsidR="00F734A6">
        <w:rPr>
          <w:rFonts w:ascii="Palatino Linotype" w:hAnsi="Palatino Linotype"/>
        </w:rPr>
        <w:t xml:space="preserve">información referente a un </w:t>
      </w:r>
      <w:r w:rsidR="00F734A6" w:rsidRPr="00961771">
        <w:rPr>
          <w:rFonts w:ascii="Palatino Linotype" w:eastAsia="Calibri" w:hAnsi="Palatino Linotype" w:cs="Tahoma"/>
          <w:bCs/>
          <w:lang w:val="es-ES" w:eastAsia="en-US"/>
        </w:rPr>
        <w:t xml:space="preserve">inmueble ubicado </w:t>
      </w:r>
      <w:r w:rsidR="00F734A6">
        <w:rPr>
          <w:rFonts w:ascii="Palatino Linotype" w:eastAsia="Calibri" w:hAnsi="Palatino Linotype" w:cs="Tahoma"/>
          <w:bCs/>
          <w:lang w:val="es-ES" w:eastAsia="en-US"/>
        </w:rPr>
        <w:t xml:space="preserve">dicho Ayuntamiento, específicamente </w:t>
      </w:r>
      <w:r w:rsidR="00F734A6" w:rsidRPr="00961771">
        <w:rPr>
          <w:rFonts w:ascii="Palatino Linotype" w:eastAsia="Calibri" w:hAnsi="Palatino Linotype" w:cs="Tahoma"/>
          <w:bCs/>
          <w:lang w:val="es-ES" w:eastAsia="en-US"/>
        </w:rPr>
        <w:t xml:space="preserve">el número cierto y completo de registro </w:t>
      </w:r>
      <w:r w:rsidR="00F734A6">
        <w:rPr>
          <w:rFonts w:ascii="Palatino Linotype" w:eastAsia="Calibri" w:hAnsi="Palatino Linotype" w:cs="Tahoma"/>
          <w:bCs/>
          <w:lang w:val="es-ES" w:eastAsia="en-US"/>
        </w:rPr>
        <w:t>de predial,</w:t>
      </w:r>
      <w:r w:rsidR="00F734A6" w:rsidRPr="00961771">
        <w:rPr>
          <w:rFonts w:ascii="Palatino Linotype" w:eastAsia="Calibri" w:hAnsi="Palatino Linotype" w:cs="Tahoma"/>
          <w:bCs/>
          <w:lang w:val="es-ES" w:eastAsia="en-US"/>
        </w:rPr>
        <w:t xml:space="preserve"> </w:t>
      </w:r>
      <w:r w:rsidR="00F734A6" w:rsidRPr="00961771">
        <w:rPr>
          <w:rFonts w:ascii="Palatino Linotype" w:eastAsia="Calibri" w:hAnsi="Palatino Linotype" w:cs="Tahoma"/>
          <w:bCs/>
          <w:lang w:val="es-ES" w:eastAsia="en-US"/>
        </w:rPr>
        <w:lastRenderedPageBreak/>
        <w:t>nombre de la persona a quien está registrado d</w:t>
      </w:r>
      <w:r w:rsidR="00F734A6">
        <w:rPr>
          <w:rFonts w:ascii="Palatino Linotype" w:eastAsia="Calibri" w:hAnsi="Palatino Linotype" w:cs="Tahoma"/>
          <w:bCs/>
          <w:lang w:val="es-ES" w:eastAsia="en-US"/>
        </w:rPr>
        <w:t xml:space="preserve">icho impuesto sobre </w:t>
      </w:r>
      <w:r w:rsidR="00721024">
        <w:rPr>
          <w:rFonts w:ascii="Palatino Linotype" w:eastAsia="Calibri" w:hAnsi="Palatino Linotype" w:cs="Tahoma"/>
          <w:bCs/>
          <w:lang w:val="es-ES" w:eastAsia="en-US"/>
        </w:rPr>
        <w:t>el inmueble</w:t>
      </w:r>
      <w:r w:rsidR="00F734A6" w:rsidRPr="00961771">
        <w:rPr>
          <w:rFonts w:ascii="Palatino Linotype" w:eastAsia="Calibri" w:hAnsi="Palatino Linotype" w:cs="Tahoma"/>
          <w:bCs/>
          <w:lang w:val="es-ES" w:eastAsia="en-US"/>
        </w:rPr>
        <w:t xml:space="preserve">, el comprobante del último pago realizado, así como el monto del mismo, en el que refleje el beneficio causado a la hacienda pública municipal del </w:t>
      </w:r>
      <w:r w:rsidR="00721024" w:rsidRPr="00961771">
        <w:rPr>
          <w:rFonts w:ascii="Palatino Linotype" w:eastAsia="Calibri" w:hAnsi="Palatino Linotype" w:cs="Tahoma"/>
          <w:bCs/>
          <w:lang w:val="es-ES" w:eastAsia="en-US"/>
        </w:rPr>
        <w:t xml:space="preserve">Ayuntamiento </w:t>
      </w:r>
      <w:r w:rsidR="00F734A6" w:rsidRPr="00961771">
        <w:rPr>
          <w:rFonts w:ascii="Palatino Linotype" w:eastAsia="Calibri" w:hAnsi="Palatino Linotype" w:cs="Tahoma"/>
          <w:bCs/>
          <w:lang w:val="es-ES" w:eastAsia="en-US"/>
        </w:rPr>
        <w:t>que representa</w:t>
      </w:r>
      <w:r w:rsidR="00F734A6">
        <w:rPr>
          <w:rFonts w:ascii="Palatino Linotype" w:hAnsi="Palatino Linotype"/>
        </w:rPr>
        <w:t xml:space="preserve">. </w:t>
      </w:r>
    </w:p>
    <w:p w:rsidR="001301F6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 w:rsidR="005E5869">
        <w:rPr>
          <w:rFonts w:ascii="Palatino Linotype" w:hAnsi="Palatino Linotype" w:cs="Arial"/>
        </w:rPr>
        <w:t xml:space="preserve"> </w:t>
      </w:r>
      <w:r w:rsidR="000135AA">
        <w:rPr>
          <w:rFonts w:ascii="Palatino Linotype" w:hAnsi="Palatino Linotype" w:cs="Arial"/>
        </w:rPr>
        <w:t>refirió</w:t>
      </w:r>
      <w:r w:rsidR="00807FDD">
        <w:rPr>
          <w:rFonts w:ascii="Palatino Linotype" w:hAnsi="Palatino Linotype" w:cs="Arial"/>
        </w:rPr>
        <w:t xml:space="preserve"> que en la</w:t>
      </w:r>
      <w:r w:rsidR="00F734A6">
        <w:rPr>
          <w:rFonts w:ascii="Palatino Linotype" w:hAnsi="Palatino Linotype" w:cs="Arial"/>
        </w:rPr>
        <w:t xml:space="preserve"> información solicitada se encuentra reservada bajo el acuerdo número </w:t>
      </w:r>
      <w:r w:rsidR="00F734A6" w:rsidRPr="00F734A6">
        <w:rPr>
          <w:rFonts w:ascii="Palatino Linotype" w:hAnsi="Palatino Linotype" w:cs="Arial"/>
        </w:rPr>
        <w:t>031/CUAUIZC/CT/TM/2018</w:t>
      </w:r>
      <w:r w:rsidR="00807FDD">
        <w:rPr>
          <w:rFonts w:ascii="Palatino Linotype" w:hAnsi="Palatino Linotype" w:cs="Arial"/>
        </w:rPr>
        <w:t xml:space="preserve"> </w:t>
      </w:r>
      <w:r w:rsidR="00F734A6">
        <w:rPr>
          <w:rFonts w:ascii="Palatino Linotype" w:hAnsi="Palatino Linotype" w:cs="Arial"/>
        </w:rPr>
        <w:t xml:space="preserve">ya que la información requerida es clasificada. </w:t>
      </w:r>
    </w:p>
    <w:p w:rsidR="000135AA" w:rsidRDefault="000135AA" w:rsidP="000135A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2E6BDD">
        <w:rPr>
          <w:rFonts w:ascii="Palatino Linotype" w:hAnsi="Palatino Linotype" w:cs="Arial"/>
        </w:rPr>
        <w:t xml:space="preserve">En ese </w:t>
      </w:r>
      <w:r>
        <w:rPr>
          <w:rFonts w:ascii="Palatino Linotype" w:hAnsi="Palatino Linotype" w:cs="Arial"/>
        </w:rPr>
        <w:t>tenor,</w:t>
      </w:r>
      <w:r w:rsidRPr="002E6BDD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>EL</w:t>
      </w:r>
      <w:r w:rsidRPr="002E6BDD">
        <w:rPr>
          <w:rFonts w:ascii="Palatino Linotype" w:hAnsi="Palatino Linotype" w:cs="Arial"/>
          <w:b/>
        </w:rPr>
        <w:t xml:space="preserve"> RECURRENTE</w:t>
      </w:r>
      <w:r w:rsidRPr="002E6BDD">
        <w:rPr>
          <w:rFonts w:ascii="Palatino Linotype" w:hAnsi="Palatino Linotype" w:cs="Arial"/>
        </w:rPr>
        <w:t xml:space="preserve"> inconforme con la respuesta otorgada por </w:t>
      </w:r>
      <w:r w:rsidRPr="002E6BDD">
        <w:rPr>
          <w:rFonts w:ascii="Palatino Linotype" w:hAnsi="Palatino Linotype" w:cs="Arial"/>
          <w:b/>
        </w:rPr>
        <w:t>EL SUJETO OBLIGADO,</w:t>
      </w:r>
      <w:r w:rsidRPr="002E6BDD">
        <w:rPr>
          <w:rFonts w:ascii="Palatino Linotype" w:hAnsi="Palatino Linotype" w:cs="Arial"/>
        </w:rPr>
        <w:t xml:space="preserve"> interpuso el recurso de revisión de mérito</w:t>
      </w:r>
      <w:r>
        <w:rPr>
          <w:rFonts w:ascii="Palatino Linotype" w:hAnsi="Palatino Linotype" w:cs="Arial"/>
        </w:rPr>
        <w:t>.</w:t>
      </w:r>
    </w:p>
    <w:p w:rsidR="00472B04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 xml:space="preserve">, la Ponencia </w:t>
      </w:r>
      <w:proofErr w:type="spellStart"/>
      <w:r w:rsidRPr="009D3429">
        <w:rPr>
          <w:rFonts w:ascii="Palatino Linotype" w:hAnsi="Palatino Linotype" w:cs="Arial"/>
        </w:rPr>
        <w:t>Resolut</w:t>
      </w:r>
      <w:r w:rsidR="009D7BAE" w:rsidRPr="009D3429">
        <w:rPr>
          <w:rFonts w:ascii="Palatino Linotype" w:hAnsi="Palatino Linotype" w:cs="Arial"/>
        </w:rPr>
        <w:t>o</w:t>
      </w:r>
      <w:r w:rsidRPr="009D3429">
        <w:rPr>
          <w:rFonts w:ascii="Palatino Linotype" w:hAnsi="Palatino Linotype" w:cs="Arial"/>
        </w:rPr>
        <w:t>ra</w:t>
      </w:r>
      <w:proofErr w:type="spellEnd"/>
      <w:r w:rsidRPr="009D3429">
        <w:rPr>
          <w:rFonts w:ascii="Palatino Linotype" w:hAnsi="Palatino Linotype" w:cs="Arial"/>
        </w:rPr>
        <w:t xml:space="preserve"> determinó </w:t>
      </w:r>
      <w:r w:rsidRPr="009D3429">
        <w:rPr>
          <w:rFonts w:ascii="Palatino Linotype" w:hAnsi="Palatino Linotype" w:cs="Arial"/>
          <w:b/>
        </w:rPr>
        <w:t>MODIFICAR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="00472B04" w:rsidRPr="009D3429">
        <w:rPr>
          <w:rFonts w:ascii="Palatino Linotype" w:hAnsi="Palatino Linotype" w:cs="Arial"/>
        </w:rPr>
        <w:t>ordenándole hacer entrega vía Sistema de Acceso a I</w:t>
      </w:r>
      <w:r w:rsidR="002276A7">
        <w:rPr>
          <w:rFonts w:ascii="Palatino Linotype" w:hAnsi="Palatino Linotype" w:cs="Arial"/>
        </w:rPr>
        <w:t>nformación Mexiquense (SAIMEX),</w:t>
      </w:r>
      <w:r w:rsidR="00DA22CE">
        <w:rPr>
          <w:rFonts w:ascii="Palatino Linotype" w:hAnsi="Palatino Linotype" w:cs="Arial"/>
        </w:rPr>
        <w:t xml:space="preserve"> </w:t>
      </w:r>
      <w:r w:rsidR="00AE4EC3" w:rsidRPr="00AE4EC3">
        <w:rPr>
          <w:rFonts w:ascii="Palatino Linotype" w:hAnsi="Palatino Linotype" w:cs="Arial"/>
        </w:rPr>
        <w:t>el acta del Comité de Transparencia, en la que se funde y motive adecuadamente, confirme la confidencialidad de la información solicitada en término</w:t>
      </w:r>
      <w:r w:rsidR="00721024">
        <w:rPr>
          <w:rFonts w:ascii="Palatino Linotype" w:hAnsi="Palatino Linotype" w:cs="Arial"/>
        </w:rPr>
        <w:t>s del artículo 143, fracción II</w:t>
      </w:r>
      <w:r w:rsidR="00AE4EC3" w:rsidRPr="00AE4EC3">
        <w:rPr>
          <w:rFonts w:ascii="Palatino Linotype" w:hAnsi="Palatino Linotype" w:cs="Arial"/>
        </w:rPr>
        <w:t xml:space="preserve"> de la Ley de Transparencia y Acceso a la Información Pública del Estado de México y Municipios, y la haga de conocimiento del particular.</w:t>
      </w:r>
    </w:p>
    <w:p w:rsidR="008B62C2" w:rsidRDefault="008B62C2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con las causas que dieron origen al 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>
        <w:rPr>
          <w:rFonts w:ascii="Palatino Linotype" w:hAnsi="Palatino Linotype"/>
          <w:b/>
        </w:rPr>
        <w:t>MODIFICAR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 xml:space="preserve">o anterior es así, de acuerdo con lo siguiente. </w:t>
      </w:r>
    </w:p>
    <w:p w:rsidR="00B2492D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lastRenderedPageBreak/>
        <w:t xml:space="preserve">En primer término, es necesario precisar que de conformidad con el artículo 186 de la </w:t>
      </w:r>
      <w:r w:rsidRPr="009D3429">
        <w:rPr>
          <w:rFonts w:ascii="Palatino Linotype" w:hAnsi="Palatino Linotype" w:cs="Arial"/>
        </w:rPr>
        <w:t>Ley de Transparencia y Acceso a la Información Pública del Estado de México y Municipios,</w:t>
      </w:r>
      <w:r w:rsidRPr="009D3429">
        <w:rPr>
          <w:rFonts w:ascii="Palatino Linotype" w:hAnsi="Palatino Linotype"/>
        </w:rPr>
        <w:t xml:space="preserve"> las Resoluciones emitidas por este Órgano Garante podrán: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i/>
          <w:sz w:val="22"/>
        </w:rPr>
        <w:t xml:space="preserve">Desechar o sobreseer el recurso; 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i/>
          <w:sz w:val="22"/>
        </w:rPr>
        <w:t xml:space="preserve">Confirmar la respuesta del sujeto obligado; 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b/>
          <w:i/>
          <w:sz w:val="22"/>
        </w:rPr>
        <w:t>Revocar o modificar la respuesta del sujeto obligado</w:t>
      </w:r>
      <w:r w:rsidRPr="00426B32">
        <w:rPr>
          <w:rFonts w:ascii="Palatino Linotype" w:hAnsi="Palatino Linotype"/>
          <w:i/>
          <w:sz w:val="22"/>
        </w:rPr>
        <w:t xml:space="preserve">; y 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i/>
          <w:sz w:val="22"/>
        </w:rPr>
        <w:t>Ordenar la entrega de la información.</w:t>
      </w:r>
    </w:p>
    <w:p w:rsidR="00B2492D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AD2E93" w:rsidRPr="009D3429" w:rsidRDefault="00AD2E93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 lo anterior, es de advertir que </w:t>
      </w:r>
      <w:r w:rsidRPr="00F25E49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no </w:t>
      </w:r>
      <w:r w:rsidR="00E5590E">
        <w:rPr>
          <w:rFonts w:ascii="Palatino Linotype" w:hAnsi="Palatino Linotype"/>
        </w:rPr>
        <w:t>colmó</w:t>
      </w:r>
      <w:r>
        <w:rPr>
          <w:rFonts w:ascii="Palatino Linotype" w:hAnsi="Palatino Linotype"/>
        </w:rPr>
        <w:t xml:space="preserve"> ni total ni parcialmente el derecho de acceso a la información del solicitante para considerar que el sentido deba ser un </w:t>
      </w:r>
      <w:r w:rsidRPr="00D436C1">
        <w:rPr>
          <w:rFonts w:ascii="Palatino Linotype" w:hAnsi="Palatino Linotype"/>
          <w:b/>
        </w:rPr>
        <w:t>MODIFICA</w:t>
      </w:r>
      <w:r>
        <w:rPr>
          <w:rFonts w:ascii="Palatino Linotype" w:hAnsi="Palatino Linotype"/>
          <w:b/>
        </w:rPr>
        <w:t>;</w:t>
      </w:r>
      <w:r>
        <w:rPr>
          <w:rFonts w:ascii="Palatino Linotype" w:hAnsi="Palatino Linotype"/>
        </w:rPr>
        <w:t xml:space="preserve"> lo anterior, toma </w:t>
      </w:r>
      <w:r w:rsidR="00E5590E">
        <w:rPr>
          <w:rFonts w:ascii="Palatino Linotype" w:hAnsi="Palatino Linotype"/>
        </w:rPr>
        <w:t>sentido</w:t>
      </w:r>
      <w:r w:rsidR="00426B3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al manifestar que </w:t>
      </w:r>
      <w:r w:rsidR="00E5590E" w:rsidRPr="00E5590E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en su Informe Justificado ratificaba dicha información. </w:t>
      </w:r>
    </w:p>
    <w:p w:rsidR="00CF1343" w:rsidRPr="00CB6BEB" w:rsidRDefault="00C94710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ese contexto, la que suscribe emite </w:t>
      </w:r>
      <w:r w:rsidRPr="009D3429">
        <w:rPr>
          <w:rFonts w:ascii="Palatino Linotype" w:hAnsi="Palatino Linotype"/>
          <w:b/>
        </w:rPr>
        <w:t>VOTO PARTICULAR</w:t>
      </w:r>
      <w:r w:rsidRPr="009D3429">
        <w:rPr>
          <w:rFonts w:ascii="Palatino Linotype" w:hAnsi="Palatino Linotype"/>
        </w:rPr>
        <w:t xml:space="preserve"> ya que lo</w:t>
      </w:r>
      <w:r w:rsidR="00B2492D" w:rsidRPr="009D3429">
        <w:rPr>
          <w:rFonts w:ascii="Palatino Linotype" w:hAnsi="Palatino Linotype"/>
        </w:rPr>
        <w:t xml:space="preserve"> anterior, resulta aún más evidente </w:t>
      </w:r>
      <w:r w:rsidRPr="009D3429">
        <w:rPr>
          <w:rFonts w:ascii="Palatino Linotype" w:hAnsi="Palatino Linotype"/>
        </w:rPr>
        <w:t xml:space="preserve">debido a que </w:t>
      </w:r>
      <w:r w:rsidR="00B2492D" w:rsidRPr="009D3429">
        <w:rPr>
          <w:rFonts w:ascii="Palatino Linotype" w:hAnsi="Palatino Linotype"/>
        </w:rPr>
        <w:t xml:space="preserve">el proyecto sometido a votación del Pleno planteó </w:t>
      </w:r>
      <w:r w:rsidR="00E54183" w:rsidRPr="009D3429">
        <w:rPr>
          <w:rFonts w:ascii="Palatino Linotype" w:hAnsi="Palatino Linotype"/>
        </w:rPr>
        <w:t>establecer</w:t>
      </w:r>
      <w:r w:rsidR="00B2492D" w:rsidRPr="009D3429">
        <w:rPr>
          <w:rFonts w:ascii="Palatino Linotype" w:hAnsi="Palatino Linotype"/>
        </w:rPr>
        <w:t xml:space="preserve"> la entrega a</w:t>
      </w:r>
      <w:r w:rsidR="007454C4">
        <w:rPr>
          <w:rFonts w:ascii="Palatino Linotype" w:hAnsi="Palatino Linotype"/>
        </w:rPr>
        <w:t>l</w:t>
      </w:r>
      <w:r w:rsidR="00B2492D" w:rsidRPr="009D3429">
        <w:rPr>
          <w:rFonts w:ascii="Palatino Linotype" w:hAnsi="Palatino Linotype"/>
        </w:rPr>
        <w:t xml:space="preserve"> </w:t>
      </w:r>
      <w:r w:rsidR="00B2492D" w:rsidRPr="009D3429">
        <w:rPr>
          <w:rFonts w:ascii="Palatino Linotype" w:hAnsi="Palatino Linotype"/>
          <w:b/>
        </w:rPr>
        <w:t>RECURRENTE</w:t>
      </w:r>
      <w:r w:rsidR="00623A83">
        <w:rPr>
          <w:rFonts w:ascii="Palatino Linotype" w:hAnsi="Palatino Linotype"/>
        </w:rPr>
        <w:t xml:space="preserve"> </w:t>
      </w:r>
      <w:r w:rsidR="00AD2E93">
        <w:rPr>
          <w:rFonts w:ascii="Palatino Linotype" w:hAnsi="Palatino Linotype"/>
        </w:rPr>
        <w:t xml:space="preserve">de la totalidad de información que no fue remitida </w:t>
      </w:r>
      <w:r w:rsidR="00CB6BEB">
        <w:rPr>
          <w:rFonts w:ascii="Palatino Linotype" w:hAnsi="Palatino Linotype"/>
        </w:rPr>
        <w:t>en</w:t>
      </w:r>
      <w:r w:rsidR="00AD2E93">
        <w:rPr>
          <w:rFonts w:ascii="Palatino Linotype" w:hAnsi="Palatino Linotype"/>
        </w:rPr>
        <w:t xml:space="preserve"> respuesta</w:t>
      </w:r>
      <w:r w:rsidR="00CB6BEB">
        <w:rPr>
          <w:rFonts w:ascii="Palatino Linotype" w:hAnsi="Palatino Linotype"/>
        </w:rPr>
        <w:t xml:space="preserve"> a la solicitud</w:t>
      </w:r>
      <w:r w:rsidR="00AD2E93">
        <w:rPr>
          <w:rFonts w:ascii="Palatino Linotype" w:hAnsi="Palatino Linotype"/>
        </w:rPr>
        <w:t xml:space="preserve">, ello en atención a que la Ponencia </w:t>
      </w:r>
      <w:proofErr w:type="spellStart"/>
      <w:r w:rsidR="00AD2E93">
        <w:rPr>
          <w:rFonts w:ascii="Palatino Linotype" w:hAnsi="Palatino Linotype"/>
        </w:rPr>
        <w:t>Resolutora</w:t>
      </w:r>
      <w:proofErr w:type="spellEnd"/>
      <w:r w:rsidR="00E5590E">
        <w:rPr>
          <w:rFonts w:ascii="Palatino Linotype" w:hAnsi="Palatino Linotype"/>
        </w:rPr>
        <w:t xml:space="preserve"> basó</w:t>
      </w:r>
      <w:r w:rsidR="00AD2E93">
        <w:rPr>
          <w:rFonts w:ascii="Palatino Linotype" w:hAnsi="Palatino Linotype"/>
        </w:rPr>
        <w:t xml:space="preserve"> el estudio de la resolución</w:t>
      </w:r>
      <w:r w:rsidR="00E5590E">
        <w:rPr>
          <w:rFonts w:ascii="Palatino Linotype" w:hAnsi="Palatino Linotype"/>
        </w:rPr>
        <w:t>,</w:t>
      </w:r>
      <w:r w:rsidR="00AE4EC3">
        <w:rPr>
          <w:rFonts w:ascii="Palatino Linotype" w:hAnsi="Palatino Linotype"/>
        </w:rPr>
        <w:t xml:space="preserve"> determinando que la información es confidencial,</w:t>
      </w:r>
      <w:r w:rsidR="007703F0">
        <w:rPr>
          <w:rFonts w:ascii="Palatino Linotype" w:hAnsi="Palatino Linotype"/>
        </w:rPr>
        <w:t xml:space="preserve"> razón por </w:t>
      </w:r>
      <w:r w:rsidR="00721024">
        <w:rPr>
          <w:rFonts w:ascii="Palatino Linotype" w:hAnsi="Palatino Linotype"/>
        </w:rPr>
        <w:lastRenderedPageBreak/>
        <w:t xml:space="preserve">la que fue ordenado el Acuerdo de Clasificación de dicha información con tal carácter; así </w:t>
      </w:r>
      <w:r w:rsidR="007703F0">
        <w:rPr>
          <w:rFonts w:ascii="Palatino Linotype" w:hAnsi="Palatino Linotype"/>
        </w:rPr>
        <w:t>se a</w:t>
      </w:r>
      <w:r w:rsidR="00AD2E93">
        <w:rPr>
          <w:rFonts w:ascii="Palatino Linotype" w:hAnsi="Palatino Linotype"/>
        </w:rPr>
        <w:t xml:space="preserve">dvierte que </w:t>
      </w:r>
      <w:r w:rsidR="00AD2E93" w:rsidRPr="00824B10">
        <w:rPr>
          <w:rFonts w:ascii="Palatino Linotype" w:hAnsi="Palatino Linotype"/>
          <w:b/>
        </w:rPr>
        <w:t>EL SUJETO OBLIGADO</w:t>
      </w:r>
      <w:r w:rsidR="00E5590E">
        <w:rPr>
          <w:rFonts w:ascii="Palatino Linotype" w:hAnsi="Palatino Linotype"/>
        </w:rPr>
        <w:t xml:space="preserve"> no colmó</w:t>
      </w:r>
      <w:r w:rsidR="00AD2E93">
        <w:rPr>
          <w:rFonts w:ascii="Palatino Linotype" w:hAnsi="Palatino Linotype"/>
        </w:rPr>
        <w:t xml:space="preserve"> ni total ni parcialmente lo requerido; por lo tanto, se reitera que</w:t>
      </w:r>
      <w:r w:rsidR="00AD2E93" w:rsidRPr="009D3429">
        <w:rPr>
          <w:rFonts w:ascii="Palatino Linotype" w:hAnsi="Palatino Linotype" w:cs="Arial"/>
        </w:rPr>
        <w:t xml:space="preserve">, lo conducente era </w:t>
      </w:r>
      <w:r w:rsidR="00AD2E93" w:rsidRPr="009D3429">
        <w:rPr>
          <w:rFonts w:ascii="Palatino Linotype" w:hAnsi="Palatino Linotype" w:cs="Arial"/>
          <w:b/>
        </w:rPr>
        <w:t>REVOCAR</w:t>
      </w:r>
      <w:r w:rsidR="00AD2E93" w:rsidRPr="009D3429">
        <w:rPr>
          <w:rFonts w:ascii="Palatino Linotype" w:hAnsi="Palatino Linotype" w:cs="Arial"/>
        </w:rPr>
        <w:t xml:space="preserve"> la respuesta del </w:t>
      </w:r>
      <w:r w:rsidR="00AD2E93" w:rsidRPr="009D3429">
        <w:rPr>
          <w:rFonts w:ascii="Palatino Linotype" w:hAnsi="Palatino Linotype" w:cs="Arial"/>
          <w:b/>
        </w:rPr>
        <w:t>SUJETO OBLIGADO</w:t>
      </w:r>
      <w:r w:rsidR="00CB6BEB">
        <w:rPr>
          <w:rFonts w:ascii="Palatino Linotype" w:hAnsi="Palatino Linotype" w:cs="Arial"/>
        </w:rPr>
        <w:t>.</w:t>
      </w:r>
    </w:p>
    <w:p w:rsidR="0035687B" w:rsidRDefault="0035687B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35687B" w:rsidRDefault="0035687B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CB6BEB" w:rsidRDefault="00CB6BEB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7703F0" w:rsidRDefault="007703F0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7703F0" w:rsidRDefault="007703F0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ED622F" w:rsidRPr="009D3429" w:rsidTr="00311E8E">
        <w:trPr>
          <w:trHeight w:val="913"/>
          <w:jc w:val="center"/>
        </w:trPr>
        <w:tc>
          <w:tcPr>
            <w:tcW w:w="2896" w:type="dxa"/>
            <w:vAlign w:val="center"/>
          </w:tcPr>
          <w:p w:rsidR="00ED622F" w:rsidRPr="009D3429" w:rsidRDefault="00ED622F" w:rsidP="00426B32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ED622F" w:rsidRDefault="00ED622F" w:rsidP="004663B3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A028B8" w:rsidRPr="00D21AFF" w:rsidRDefault="00A028B8" w:rsidP="00A028B8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  <w:p w:rsidR="00A028B8" w:rsidRPr="009D3429" w:rsidRDefault="00A028B8" w:rsidP="004663B3">
            <w:pPr>
              <w:jc w:val="center"/>
              <w:rPr>
                <w:rFonts w:ascii="Palatino Linotype" w:hAnsi="Palatino Linotype" w:cs="Arial"/>
                <w:b/>
              </w:rPr>
            </w:pPr>
            <w:bookmarkStart w:id="0" w:name="_GoBack"/>
            <w:bookmarkEnd w:id="0"/>
          </w:p>
        </w:tc>
      </w:tr>
    </w:tbl>
    <w:p w:rsidR="00623A83" w:rsidRDefault="00623A83" w:rsidP="00E72AE7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426B32" w:rsidRDefault="00426B32" w:rsidP="00E72AE7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7703F0" w:rsidRDefault="007703F0" w:rsidP="00E72AE7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B2492D" w:rsidRPr="0035687B" w:rsidRDefault="00B2492D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Esta hoja corresponde al voto particular emitido en </w:t>
      </w:r>
      <w:r w:rsidR="00CB6BEB">
        <w:rPr>
          <w:rFonts w:ascii="Palatino Linotype" w:eastAsia="Calibri" w:hAnsi="Palatino Linotype" w:cs="Arial"/>
          <w:color w:val="000000" w:themeColor="text1"/>
          <w:sz w:val="20"/>
        </w:rPr>
        <w:t>la resolución d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el recurso de revisión 0</w:t>
      </w:r>
      <w:r w:rsidR="007703F0">
        <w:rPr>
          <w:rFonts w:ascii="Palatino Linotype" w:eastAsia="Calibri" w:hAnsi="Palatino Linotype" w:cs="Arial"/>
          <w:color w:val="000000" w:themeColor="text1"/>
          <w:sz w:val="20"/>
        </w:rPr>
        <w:t>3461</w:t>
      </w:r>
      <w:r w:rsidR="00ED622F" w:rsidRPr="0035687B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 w:rsidR="007703F0">
        <w:rPr>
          <w:rFonts w:ascii="Palatino Linotype" w:eastAsia="Calibri" w:hAnsi="Palatino Linotype" w:cs="Arial"/>
          <w:color w:val="000000" w:themeColor="text1"/>
          <w:sz w:val="20"/>
        </w:rPr>
        <w:t>8, aprobado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el </w:t>
      </w:r>
      <w:r w:rsidR="007703F0">
        <w:rPr>
          <w:rFonts w:ascii="Palatino Linotype" w:eastAsia="Calibri" w:hAnsi="Palatino Linotype" w:cs="Arial"/>
          <w:color w:val="000000" w:themeColor="text1"/>
          <w:sz w:val="20"/>
        </w:rPr>
        <w:t xml:space="preserve">treinta y uno </w:t>
      </w:r>
      <w:r w:rsidR="00623A83">
        <w:rPr>
          <w:rFonts w:ascii="Palatino Linotype" w:eastAsia="Calibri" w:hAnsi="Palatino Linotype" w:cs="Arial"/>
          <w:color w:val="000000" w:themeColor="text1"/>
          <w:sz w:val="20"/>
        </w:rPr>
        <w:t xml:space="preserve">de </w:t>
      </w:r>
      <w:r w:rsidR="007703F0">
        <w:rPr>
          <w:rFonts w:ascii="Palatino Linotype" w:eastAsia="Calibri" w:hAnsi="Palatino Linotype" w:cs="Arial"/>
          <w:color w:val="000000" w:themeColor="text1"/>
          <w:sz w:val="20"/>
        </w:rPr>
        <w:t>octubre</w:t>
      </w:r>
      <w:r w:rsidR="00CB6BEB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CF1343" w:rsidRPr="0035687B">
        <w:rPr>
          <w:rFonts w:ascii="Palatino Linotype" w:eastAsia="Calibri" w:hAnsi="Palatino Linotype" w:cs="Arial"/>
          <w:color w:val="000000" w:themeColor="text1"/>
          <w:sz w:val="20"/>
        </w:rPr>
        <w:t>de dos mil dieciocho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.</w:t>
      </w:r>
    </w:p>
    <w:p w:rsidR="00847315" w:rsidRPr="0035687B" w:rsidRDefault="00CB6BEB" w:rsidP="00426B32">
      <w:pPr>
        <w:jc w:val="both"/>
        <w:rPr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YSM/IAHA</w:t>
      </w:r>
    </w:p>
    <w:sectPr w:rsidR="00847315" w:rsidRPr="0035687B" w:rsidSect="00AC0EB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A81" w:rsidRDefault="00CE0A81" w:rsidP="00B2492D">
      <w:r>
        <w:separator/>
      </w:r>
    </w:p>
  </w:endnote>
  <w:endnote w:type="continuationSeparator" w:id="0">
    <w:p w:rsidR="00CE0A81" w:rsidRDefault="00CE0A81" w:rsidP="00B2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A028B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A028B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A028B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A028B8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5B5A8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028B8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028B8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A028B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A81" w:rsidRDefault="00CE0A81" w:rsidP="00B2492D">
      <w:r>
        <w:separator/>
      </w:r>
    </w:p>
  </w:footnote>
  <w:footnote w:type="continuationSeparator" w:id="0">
    <w:p w:rsidR="00CE0A81" w:rsidRDefault="00CE0A81" w:rsidP="00B2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A028B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B5A8B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4826CB01" wp14:editId="1346C5E0">
          <wp:simplePos x="0" y="0"/>
          <wp:positionH relativeFrom="column">
            <wp:posOffset>-679450</wp:posOffset>
          </wp:positionH>
          <wp:positionV relativeFrom="paragraph">
            <wp:posOffset>-424180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6383" w:rsidRDefault="00A028B8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721024" w:rsidRDefault="0072102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 w:cs="Arial"/>
        <w:sz w:val="20"/>
        <w:szCs w:val="20"/>
      </w:rPr>
      <w:t>VOTO PARTICULAR</w:t>
    </w:r>
  </w:p>
  <w:p w:rsidR="00721024" w:rsidRDefault="0072102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 w:rsidRPr="00801C8F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03461/INFOEM/IP/RR/2018</w:t>
    </w:r>
  </w:p>
  <w:p w:rsidR="00066B13" w:rsidRDefault="00A028B8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68.2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A028B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7952"/>
    <w:multiLevelType w:val="multilevel"/>
    <w:tmpl w:val="3BC45D2C"/>
    <w:lvl w:ilvl="0">
      <w:start w:val="24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2D"/>
    <w:rsid w:val="000076F2"/>
    <w:rsid w:val="00007DE6"/>
    <w:rsid w:val="000135AA"/>
    <w:rsid w:val="00086CEA"/>
    <w:rsid w:val="00124FC4"/>
    <w:rsid w:val="001301F6"/>
    <w:rsid w:val="00140D79"/>
    <w:rsid w:val="001D5562"/>
    <w:rsid w:val="001F01D1"/>
    <w:rsid w:val="00216380"/>
    <w:rsid w:val="002276A7"/>
    <w:rsid w:val="002423F8"/>
    <w:rsid w:val="00251FF5"/>
    <w:rsid w:val="00296C85"/>
    <w:rsid w:val="00311E8E"/>
    <w:rsid w:val="00324EBE"/>
    <w:rsid w:val="0035687B"/>
    <w:rsid w:val="003A0C01"/>
    <w:rsid w:val="003C2F6A"/>
    <w:rsid w:val="003F4C4C"/>
    <w:rsid w:val="00426B32"/>
    <w:rsid w:val="00437359"/>
    <w:rsid w:val="004663B3"/>
    <w:rsid w:val="00472B04"/>
    <w:rsid w:val="004F77DC"/>
    <w:rsid w:val="0053148C"/>
    <w:rsid w:val="00534623"/>
    <w:rsid w:val="0055481B"/>
    <w:rsid w:val="00580868"/>
    <w:rsid w:val="005A4D7F"/>
    <w:rsid w:val="005B5027"/>
    <w:rsid w:val="005B5A8B"/>
    <w:rsid w:val="005E5869"/>
    <w:rsid w:val="00623A83"/>
    <w:rsid w:val="00654FE9"/>
    <w:rsid w:val="00674B2F"/>
    <w:rsid w:val="006801D4"/>
    <w:rsid w:val="006A1F35"/>
    <w:rsid w:val="006B30CD"/>
    <w:rsid w:val="0070435B"/>
    <w:rsid w:val="00721024"/>
    <w:rsid w:val="007454C4"/>
    <w:rsid w:val="007703F0"/>
    <w:rsid w:val="00777C87"/>
    <w:rsid w:val="007C26E9"/>
    <w:rsid w:val="007C7A0C"/>
    <w:rsid w:val="007F37BF"/>
    <w:rsid w:val="0080364C"/>
    <w:rsid w:val="00807FDD"/>
    <w:rsid w:val="00811B0B"/>
    <w:rsid w:val="00864D3F"/>
    <w:rsid w:val="008A35FA"/>
    <w:rsid w:val="008B0732"/>
    <w:rsid w:val="008B62C2"/>
    <w:rsid w:val="009110E4"/>
    <w:rsid w:val="009379FA"/>
    <w:rsid w:val="00973992"/>
    <w:rsid w:val="00990B93"/>
    <w:rsid w:val="009B7F40"/>
    <w:rsid w:val="009C4594"/>
    <w:rsid w:val="009D3429"/>
    <w:rsid w:val="009D7BAE"/>
    <w:rsid w:val="00A028B8"/>
    <w:rsid w:val="00A51F16"/>
    <w:rsid w:val="00A65E45"/>
    <w:rsid w:val="00A94EC1"/>
    <w:rsid w:val="00A96975"/>
    <w:rsid w:val="00AA6DEB"/>
    <w:rsid w:val="00AC0EBE"/>
    <w:rsid w:val="00AD2E93"/>
    <w:rsid w:val="00AE4EC3"/>
    <w:rsid w:val="00B2492D"/>
    <w:rsid w:val="00B71A4B"/>
    <w:rsid w:val="00B85728"/>
    <w:rsid w:val="00BE5708"/>
    <w:rsid w:val="00BF2A76"/>
    <w:rsid w:val="00C05F00"/>
    <w:rsid w:val="00C94710"/>
    <w:rsid w:val="00CA6DA2"/>
    <w:rsid w:val="00CA758B"/>
    <w:rsid w:val="00CB6BEB"/>
    <w:rsid w:val="00CB7180"/>
    <w:rsid w:val="00CE0A81"/>
    <w:rsid w:val="00CE0D21"/>
    <w:rsid w:val="00CF1343"/>
    <w:rsid w:val="00D1088D"/>
    <w:rsid w:val="00D44FBB"/>
    <w:rsid w:val="00D724F4"/>
    <w:rsid w:val="00D856F0"/>
    <w:rsid w:val="00DA22CE"/>
    <w:rsid w:val="00E54183"/>
    <w:rsid w:val="00E5590E"/>
    <w:rsid w:val="00E72AE7"/>
    <w:rsid w:val="00ED622F"/>
    <w:rsid w:val="00F011E4"/>
    <w:rsid w:val="00F367B1"/>
    <w:rsid w:val="00F64CC1"/>
    <w:rsid w:val="00F734A6"/>
    <w:rsid w:val="00F92F70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53CBB4C-E391-43E0-AC3B-5582F079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B2492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72"/>
    <w:locked/>
    <w:rsid w:val="00B249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F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F3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D4A7-44AC-4CBD-92CC-5B792F38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7</cp:revision>
  <cp:lastPrinted>2018-11-06T03:06:00Z</cp:lastPrinted>
  <dcterms:created xsi:type="dcterms:W3CDTF">2018-11-06T02:42:00Z</dcterms:created>
  <dcterms:modified xsi:type="dcterms:W3CDTF">2018-11-20T21:26:00Z</dcterms:modified>
</cp:coreProperties>
</file>